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720"/>
        <w:rPr>
          <w:rFonts w:ascii="Tahoma" w:hAnsi="Tahoma" w:eastAsia="Tahoma" w:cs="Tahoma"/>
          <w:b/>
        </w:rPr>
      </w:pPr>
      <w:r>
        <w:rPr>
          <w:rFonts w:ascii="Tahoma" w:hAnsi="Tahoma" w:cs="Tahom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125095</wp:posOffset>
                </wp:positionV>
                <wp:extent cx="1362075" cy="685800"/>
                <wp:effectExtent l="0" t="0" r="0" b="0"/>
                <wp:wrapSquare wrapText="bothSides"/>
                <wp:docPr id="1" name="image1.png" descr="mrg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rg_logo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3620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181.75pt;mso-position-horizontal:absolute;mso-position-vertical-relative:text;margin-top:9.85pt;mso-position-vertical:absolute;width:107.25pt;height:54.00pt;mso-wrap-distance-left:9.00pt;mso-wrap-distance-top:0.00pt;mso-wrap-distance-right:9.00pt;mso-wrap-distance-bottom:0.0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</w:p>
    <w:p>
      <w:pPr>
        <w:rPr>
          <w:rFonts w:ascii="Tahoma" w:hAnsi="Tahoma" w:eastAsia="Tahoma" w:cs="Tahoma"/>
          <w:b/>
        </w:rPr>
      </w:pP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</w:p>
    <w:p>
      <w:pPr>
        <w:jc w:val="left"/>
        <w:rPr>
          <w:rFonts w:ascii="Tahoma" w:hAnsi="Tahoma" w:eastAsia="Tahoma" w:cs="Tahoma"/>
          <w:b/>
        </w:rPr>
      </w:pPr>
      <w:r>
        <w:rPr>
          <w:rFonts w:ascii="Tahoma" w:hAnsi="Tahoma" w:eastAsia="Tahoma" w:cs="Tahoma"/>
          <w:b/>
        </w:rPr>
        <w:t xml:space="preserve">РЕЛИЗ</w:t>
      </w: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</w:p>
    <w:p>
      <w:pPr>
        <w:jc w:val="both"/>
        <w:spacing w:before="120"/>
        <w:rPr>
          <w:rFonts w:ascii="Tahoma" w:hAnsi="Tahoma" w:eastAsia="Tahoma" w:cs="Tahoma"/>
        </w:rPr>
      </w:pPr>
      <w:r>
        <w:rPr>
          <w:rFonts w:ascii="Tahoma" w:hAnsi="Tahoma" w:eastAsia="Tahoma" w:cs="Tahoma"/>
        </w:rPr>
        <w:t xml:space="preserve">11.06</w:t>
      </w:r>
      <w:r>
        <w:rPr>
          <w:rFonts w:ascii="Tahoma" w:hAnsi="Tahoma" w:eastAsia="Tahoma" w:cs="Tahoma"/>
        </w:rPr>
        <w:t xml:space="preserve">.2026</w:t>
      </w:r>
      <w:r>
        <w:rPr>
          <w:rFonts w:ascii="Tahoma" w:hAnsi="Tahoma" w:eastAsia="Tahoma" w:cs="Tahoma"/>
        </w:rPr>
        <w:br/>
      </w:r>
      <w:r>
        <w:rPr>
          <w:rFonts w:ascii="Tahoma" w:hAnsi="Tahoma" w:cs="Tahom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46355</wp:posOffset>
                </wp:positionV>
                <wp:extent cx="6096000" cy="0"/>
                <wp:effectExtent l="0" t="0" r="0" b="0"/>
                <wp:wrapNone/>
                <wp:docPr id="2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0960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7F7F7F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9264;o:allowoverlap:true;o:allowincell:true;mso-position-horizontal-relative:text;margin-left:1.10pt;mso-position-horizontal:absolute;mso-position-vertical-relative:text;margin-top:3.65pt;mso-position-vertical:absolute;width:480.00pt;height:0.00pt;mso-wrap-distance-left:9.00pt;mso-wrap-distance-top:0.00pt;mso-wrap-distance-right:9.00pt;mso-wrap-distance-bottom:0.00pt;flip:y;visibility:visible;" path="m0,0l100000,100000e" coordsize="100000,100000" filled="f" strokecolor="#7F7F7F" strokeweight="0.50pt">
                <v:path textboxrect="0,0,100000,100000"/>
              </v:shape>
            </w:pict>
          </mc:Fallback>
        </mc:AlternateContent>
      </w:r>
      <w:r>
        <w:rPr>
          <w:rFonts w:ascii="Tahoma" w:hAnsi="Tahoma" w:eastAsia="Tahoma" w:cs="Tahoma"/>
        </w:rPr>
        <w:t xml:space="preserve">Нижегородская область</w:t>
      </w:r>
      <w:r>
        <w:rPr>
          <w:rFonts w:ascii="Tahoma" w:hAnsi="Tahoma" w:eastAsia="Tahoma" w:cs="Tahoma"/>
        </w:rPr>
      </w:r>
      <w:r>
        <w:rPr>
          <w:rFonts w:ascii="Tahoma" w:hAnsi="Tahoma" w:eastAsia="Tahoma" w:cs="Tahoma"/>
        </w:rPr>
      </w:r>
    </w:p>
    <w:p>
      <w:pPr>
        <w:jc w:val="both"/>
        <w:rPr>
          <w:rFonts w:ascii="Tahoma" w:hAnsi="Tahoma" w:eastAsia="Tahoma" w:cs="Tahoma"/>
          <w:b/>
        </w:rPr>
      </w:pP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  <w:r>
        <w:rPr>
          <w:rFonts w:ascii="Tahoma" w:hAnsi="Tahoma" w:eastAsia="Tahoma" w:cs="Tahoma"/>
          <w:b/>
        </w:rPr>
      </w:r>
    </w:p>
    <w:p>
      <w:pPr>
        <w:pStyle w:val="842"/>
        <w:ind w:firstLine="709"/>
        <w:jc w:val="center"/>
        <w:spacing w:before="0" w:after="16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highlight w:val="none"/>
        </w:rPr>
      </w:r>
      <w:r>
        <w:rPr>
          <w:rFonts w:ascii="Tahoma" w:hAnsi="Tahoma" w:cs="Tahoma"/>
          <w:bCs/>
          <w:sz w:val="24"/>
          <w:highlight w:val="none"/>
        </w:rPr>
      </w:r>
      <w:r>
        <w:rPr>
          <w:rFonts w:ascii="Tahoma" w:hAnsi="Tahoma" w:cs="Tahoma"/>
          <w:bCs/>
          <w:sz w:val="24"/>
          <w:highlight w:val="none"/>
        </w:rPr>
        <w:t xml:space="preserve">Меры социальной поддержки для льготных категорий граждан при догазификации дома</w:t>
      </w:r>
      <w:r>
        <w:rPr>
          <w:rFonts w:ascii="Tahoma" w:hAnsi="Tahoma" w:cs="Tahoma"/>
          <w:bCs/>
          <w:sz w:val="24"/>
          <w:highlight w:val="none"/>
        </w:rPr>
      </w:r>
      <w:r>
        <w:rPr>
          <w:rFonts w:ascii="Tahoma" w:hAnsi="Tahoma" w:cs="Tahoma"/>
          <w:sz w:val="24"/>
          <w:szCs w:val="24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В Нижегородской области продолжается реализация масштабной программы догазификации, в рамках которой подведение газа до границ земельных участков домовладений осуществляется бесплатно.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Подготовку домовладения к приему газа, а именно работы по строительству сетей газопотребления в границах участка и установку необходимого оборудования, участники программы обеспечивают за свой счет.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Стоимость строительства газовой сети в границах участка зависит от объема работ, способа прокладки газопровода, выбора исполнителя работ – ГРО или сторонней организации. На итоговую сумму также повлияет выбор газового оборудования.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Рассчитать предварительную стоимость работ в границах участка можно на Портале Единого оператора газификации: </w:t>
      </w:r>
      <w:hyperlink r:id="rId11" w:tooltip="https://connectgas.ru/" w:history="1">
        <w:r>
          <w:rPr>
            <w:rStyle w:val="854"/>
            <w:rFonts w:ascii="Tahoma" w:hAnsi="Tahoma" w:cs="Tahoma"/>
            <w:i w:val="0"/>
            <w:iCs w:val="0"/>
            <w:highlight w:val="none"/>
          </w:rPr>
          <w:t xml:space="preserve">connectgas.ru</w:t>
        </w:r>
      </w:hyperlink>
      <w:r>
        <w:rPr>
          <w:rFonts w:ascii="Tahoma" w:hAnsi="Tahoma" w:cs="Tahoma"/>
          <w:i w:val="0"/>
          <w:iCs w:val="0"/>
          <w:highlight w:val="none"/>
        </w:rPr>
        <w:t xml:space="preserve">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В регионе действуют меры социальной поддержки при догазификации домовладений для льготных категорий граждан. Размер субсидии зависит от категории. Например, выплата для многодетных семей, где воспитывают четверых и более детей до 18 лет, составит до 210 тыс</w:t>
      </w:r>
      <w:r>
        <w:rPr>
          <w:rFonts w:ascii="Tahoma" w:hAnsi="Tahoma" w:cs="Tahoma"/>
          <w:i w:val="0"/>
          <w:iCs w:val="0"/>
          <w:highlight w:val="none"/>
        </w:rPr>
        <w:t xml:space="preserve">. рублей.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Семьи, где воспитывают троих детей до 18 лет, могут компенсировать расходы до 150 тысяч рублей. До 130 тысяч рублей направляют другим льготникам, например, семьям, где есть дети с ограниченными возможностями здоровья; инвалидам 1 или 2 группы; ветеранам; уч</w:t>
      </w:r>
      <w:r>
        <w:rPr>
          <w:rFonts w:ascii="Tahoma" w:hAnsi="Tahoma" w:cs="Tahoma"/>
          <w:i w:val="0"/>
          <w:iCs w:val="0"/>
          <w:highlight w:val="none"/>
        </w:rPr>
        <w:t xml:space="preserve">астникам и инвалидам боевых действий; участникам ликвидации техногенных аварий; участникам СВО и др. И до 110 тысяч — малоимущим гражданам.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Выплату можно направить на компенсацию расходов, связанных с приобретением газоиспользующего оборудования, и (или) строительством газовых сетей внутри границ участка, и (или) строительством внутреннего газопровода ИЖС.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Для получения субсидии необходимо обратиться в Управление социальной защиты граждан своего района или округа.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</w:pPr>
      <w:r>
        <w:rPr>
          <w:rFonts w:ascii="Tahoma" w:hAnsi="Tahoma" w:cs="Tahoma"/>
          <w:i w:val="0"/>
          <w:iCs w:val="0"/>
          <w:highlight w:val="none"/>
        </w:rPr>
        <w:t xml:space="preserve">Полный перечень льготных категорий утвержден постановлением Правительства Нижегородской области от 31 марта 2022 года № 223: </w:t>
      </w:r>
      <w:hyperlink r:id="rId12" w:tooltip="https://oblgaznnov.ru/File/v8_ABA4_43.pdf." w:history="1">
        <w:r>
          <w:rPr>
            <w:rStyle w:val="854"/>
            <w:rFonts w:ascii="Tahoma" w:hAnsi="Tahoma" w:cs="Tahoma"/>
            <w:i w:val="0"/>
            <w:iCs w:val="0"/>
            <w:highlight w:val="none"/>
          </w:rPr>
          <w:t xml:space="preserve">https://oblgaznnov.ru/File/v8_ABA4_43.pdf.</w:t>
        </w:r>
      </w:hyperlink>
      <w:r>
        <w:rPr>
          <w:rFonts w:ascii="Tahoma" w:hAnsi="Tahoma" w:cs="Tahoma"/>
          <w:i w:val="0"/>
          <w:iCs w:val="0"/>
          <w:highlight w:val="none"/>
        </w:rPr>
        <w:t xml:space="preserve"> 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</w:pPr>
      <w:r>
        <w:rPr>
          <w:rFonts w:ascii="Tahoma" w:hAnsi="Tahoma" w:cs="Tahoma"/>
          <w:i w:val="0"/>
          <w:iCs w:val="0"/>
          <w:highlight w:val="none"/>
        </w:rPr>
        <w:t xml:space="preserve">Справка</w:t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Узнать входит ли ваш адрес в программу догазификации, рассчитать примерную стоимость подключения и подать заявку можно на портале Единого оператора газификации: </w:t>
      </w:r>
      <w:hyperlink r:id="rId13" w:tooltip="https://vk.com/away.php?to=http%3A%2F%2Fconnectgas.ru%2F&amp;utf=1" w:history="1">
        <w:r>
          <w:rPr>
            <w:rStyle w:val="854"/>
            <w:rFonts w:ascii="Tahoma" w:hAnsi="Tahoma" w:cs="Tahoma"/>
            <w:i w:val="0"/>
            <w:iCs w:val="0"/>
            <w:highlight w:val="none"/>
          </w:rPr>
          <w:t xml:space="preserve">connectgas.ru/</w:t>
        </w:r>
      </w:hyperlink>
      <w:r>
        <w:rPr>
          <w:rFonts w:ascii="Tahoma" w:hAnsi="Tahoma" w:cs="Tahoma"/>
          <w:i w:val="0"/>
          <w:iCs w:val="0"/>
          <w:highlight w:val="none"/>
        </w:rPr>
        <w:t xml:space="preserve">.</w:t>
      </w: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  <w:rPr>
          <w:rFonts w:ascii="Tahoma" w:hAnsi="Tahoma" w:cs="Tahoma"/>
          <w:bCs w:val="0"/>
          <w:i w:val="0"/>
          <w:highlight w:val="none"/>
        </w:rPr>
      </w:pPr>
      <w:r>
        <w:rPr>
          <w:rFonts w:ascii="Tahoma" w:hAnsi="Tahoma" w:cs="Tahoma"/>
          <w:i w:val="0"/>
          <w:iCs w:val="0"/>
          <w:highlight w:val="none"/>
        </w:rPr>
        <w:t xml:space="preserve">Подать заявку также можно в Едином клиентском центре нижегородских газовых компаний, в офисе МФЦ, в «Личном кабинете»: </w:t>
      </w:r>
      <w:hyperlink r:id="rId14" w:tooltip="https://vk.com/away.php?to=http%3A%2F%2Fconnectgas.ru%2F&amp;utf=1" w:history="1">
        <w:r>
          <w:rPr>
            <w:rStyle w:val="854"/>
            <w:rFonts w:ascii="Tahoma" w:hAnsi="Tahoma" w:cs="Tahoma"/>
            <w:i w:val="0"/>
            <w:iCs w:val="0"/>
            <w:highlight w:val="none"/>
          </w:rPr>
          <w:t xml:space="preserve">lk.oblgaznnov.ru/</w:t>
        </w:r>
      </w:hyperlink>
      <w:r>
        <w:rPr>
          <w:rFonts w:ascii="Tahoma" w:hAnsi="Tahoma" w:cs="Tahoma"/>
          <w:i w:val="0"/>
          <w:iCs w:val="0"/>
          <w:highlight w:val="none"/>
        </w:rPr>
        <w:t xml:space="preserve"> и на портале «ГосУслуги».</w:t>
      </w:r>
      <w:r>
        <w:rPr>
          <w:rFonts w:ascii="Tahoma" w:hAnsi="Tahoma" w:cs="Tahoma"/>
          <w:i w:val="0"/>
          <w:iCs w:val="0"/>
          <w:highlight w:val="none"/>
        </w:rPr>
      </w:r>
      <w:r/>
      <w:r/>
      <w:r/>
      <w:r>
        <w:rPr>
          <w:rFonts w:ascii="Tahoma" w:hAnsi="Tahoma" w:cs="Tahoma"/>
          <w:bCs w:val="0"/>
          <w:i w:val="0"/>
          <w:highlight w:val="none"/>
        </w:rPr>
      </w:r>
    </w:p>
    <w:p>
      <w:pPr>
        <w:ind w:firstLine="709"/>
        <w:jc w:val="both"/>
      </w:pPr>
      <w:r>
        <w:rPr>
          <w:rFonts w:ascii="Tahoma" w:hAnsi="Tahoma" w:cs="Tahoma"/>
          <w:i w:val="0"/>
          <w:iCs w:val="0"/>
          <w:highlight w:val="none"/>
        </w:rPr>
      </w:r>
      <w:r>
        <w:rPr>
          <w:rFonts w:ascii="Tahoma" w:hAnsi="Tahoma" w:cs="Tahoma"/>
          <w:i w:val="0"/>
          <w:iCs w:val="0"/>
          <w:highlight w:val="none"/>
        </w:rPr>
      </w:r>
    </w:p>
    <w:p>
      <w:pPr>
        <w:ind w:firstLine="709"/>
        <w:jc w:val="both"/>
      </w:pPr>
      <w:r>
        <w:rPr>
          <w:rFonts w:ascii="Tahoma" w:hAnsi="Tahoma" w:cs="Tahoma"/>
          <w:i/>
        </w:rPr>
        <w:t xml:space="preserve">Справка</w:t>
      </w:r>
      <w:r>
        <w:rPr>
          <w:rFonts w:ascii="Tahoma" w:hAnsi="Tahoma" w:cs="Tahoma"/>
          <w:i/>
        </w:rPr>
      </w:r>
      <w:r/>
    </w:p>
    <w:p>
      <w:pPr>
        <w:contextualSpacing w:val="0"/>
        <w:ind w:firstLine="709"/>
        <w:jc w:val="both"/>
        <w:rPr>
          <w:rFonts w:ascii="Tahoma" w:hAnsi="Tahoma" w:cs="Tahoma"/>
          <w:bCs/>
          <w:i/>
          <w:highlight w:val="none"/>
        </w:rPr>
      </w:pPr>
      <w:r>
        <w:rPr>
          <w:rFonts w:ascii="Tahoma" w:hAnsi="Tahoma" w:cs="Tahoma"/>
          <w:i/>
        </w:rPr>
        <w:t xml:space="preserve">О</w:t>
      </w:r>
      <w:r>
        <w:rPr>
          <w:rFonts w:ascii="Tahoma" w:hAnsi="Tahoma" w:cs="Tahoma"/>
          <w:i/>
        </w:rPr>
        <w:t xml:space="preserve">ОО «Газпром газораспределение Нижний Новгород» входит в Группу «Газпром межрегионгаз». Компания осуществляет транспортировку природного газа по газораспределительным сетям, строительство и эксплуатацию газопроводов, подключение объектов к системе газоснабж</w:t>
      </w:r>
      <w:r>
        <w:rPr>
          <w:rFonts w:ascii="Tahoma" w:hAnsi="Tahoma" w:cs="Tahoma"/>
          <w:i/>
        </w:rPr>
        <w:t xml:space="preserve">ения и техническое обслуживание газового оборудования.</w:t>
      </w:r>
      <w:r>
        <w:rPr>
          <w:rFonts w:ascii="Tahoma" w:hAnsi="Tahoma" w:cs="Tahoma"/>
          <w:bCs/>
          <w:i/>
          <w:highlight w:val="none"/>
        </w:rPr>
      </w:r>
      <w:r>
        <w:rPr>
          <w:rFonts w:ascii="Tahoma" w:hAnsi="Tahoma" w:cs="Tahoma"/>
          <w:bCs/>
          <w:i/>
          <w:highlight w:val="none"/>
        </w:rPr>
      </w:r>
    </w:p>
    <w:p>
      <w:pPr>
        <w:ind w:firstLine="0"/>
        <w:spacing w:before="100" w:beforeAutospacing="1" w:after="100" w:afterAutospacing="1"/>
        <w:rPr>
          <w:rFonts w:ascii="Tahoma" w:hAnsi="Tahoma" w:cs="Tahoma"/>
        </w:rPr>
        <w:pBdr>
          <w:bottom w:val="single" w:color="000000" w:sz="12" w:space="0"/>
        </w:pBdr>
      </w:pPr>
      <w:r>
        <w:rPr>
          <w:rFonts w:ascii="Tahoma" w:hAnsi="Tahoma" w:cs="Tahoma"/>
        </w:rPr>
        <w:t xml:space="preserve">ПРЕСС-СЛУЖБА ООО «ГАЗПРОМ ГАЗОРАСПРЕДЕЛЕНИЕ НИЖНИЙ НОВГОРОД» 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33"/>
        <w:gridCol w:w="5738"/>
      </w:tblGrid>
      <w:tr>
        <w:tblPrEx/>
        <w:trPr/>
        <w:tc>
          <w:tcPr>
            <w:tcW w:w="3833" w:type="dxa"/>
            <w:textDirection w:val="lrTb"/>
            <w:noWrap w:val="false"/>
          </w:tcPr>
          <w:p>
            <w:pPr>
              <w:ind w:firstLine="709"/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Контактные телефоны:</w: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  <w:p>
            <w:pPr>
              <w:ind w:firstLine="709"/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Е</w:t>
            </w:r>
            <w:r>
              <w:rPr>
                <w:rFonts w:ascii="Tahoma" w:hAnsi="Tahoma" w:cs="Tahoma"/>
                <w:sz w:val="22"/>
                <w:szCs w:val="22"/>
              </w:rPr>
              <w:t xml:space="preserve">-mail</w:t>
            </w:r>
            <w:r>
              <w:rPr>
                <w:rFonts w:ascii="Tahoma" w:hAnsi="Tahoma" w:cs="Tahoma"/>
                <w:sz w:val="22"/>
                <w:szCs w:val="22"/>
              </w:rPr>
              <w:t xml:space="preserve">:</w: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  <w:p>
            <w:pPr>
              <w:ind w:firstLine="709"/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Сайт:</w: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5738" w:type="dxa"/>
            <w:textDirection w:val="lrTb"/>
            <w:noWrap w:val="false"/>
          </w:tcPr>
          <w:p>
            <w:pPr>
              <w:ind w:firstLine="709"/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(831) 469-49-91</w: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  <w:p>
            <w:pPr>
              <w:ind w:firstLine="709"/>
              <w:spacing w:before="100" w:beforeAutospacing="1" w:after="100" w:afterAutospacing="1"/>
              <w:rPr>
                <w:rFonts w:ascii="Tahoma" w:hAnsi="Tahoma"/>
              </w:rPr>
            </w:pPr>
            <w:r>
              <w:rPr>
                <w:rFonts w:ascii="Tahoma" w:hAnsi="Tahoma"/>
                <w:sz w:val="22"/>
                <w:szCs w:val="22"/>
              </w:rPr>
              <w:t xml:space="preserve">pr@</w:t>
            </w:r>
            <w:r>
              <w:rPr>
                <w:rFonts w:ascii="Tahoma" w:hAnsi="Tahoma"/>
                <w:sz w:val="22"/>
                <w:szCs w:val="22"/>
                <w:lang w:val="en-US"/>
              </w:rPr>
              <w:t xml:space="preserve">oblgaz</w:t>
            </w:r>
            <w:r>
              <w:rPr>
                <w:rFonts w:ascii="Tahoma" w:hAnsi="Tahoma"/>
                <w:sz w:val="22"/>
                <w:szCs w:val="22"/>
              </w:rPr>
              <w:t xml:space="preserve">.</w:t>
            </w:r>
            <w:r>
              <w:rPr>
                <w:rFonts w:ascii="Tahoma" w:hAnsi="Tahoma"/>
                <w:sz w:val="22"/>
                <w:szCs w:val="22"/>
              </w:rPr>
              <w:t xml:space="preserve">nnov.ru</w: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</w:r>
          </w:p>
          <w:p>
            <w:pPr>
              <w:ind w:firstLine="709"/>
              <w:spacing w:before="100" w:beforeAutospacing="1" w:after="100" w:afterAutospacing="1"/>
              <w:rPr>
                <w:rFonts w:ascii="Tahoma" w:hAnsi="Tahoma"/>
              </w:rPr>
            </w:pPr>
            <w:r/>
            <w:hyperlink r:id="rId15" w:tooltip="http://www.oblgaznnov.ru" w:history="1">
              <w:r>
                <w:rPr>
                  <w:rStyle w:val="854"/>
                  <w:rFonts w:ascii="Tahoma" w:hAnsi="Tahoma"/>
                  <w:sz w:val="22"/>
                  <w:szCs w:val="22"/>
                </w:rPr>
                <w:t xml:space="preserve">www.</w:t>
              </w:r>
              <w:r>
                <w:rPr>
                  <w:rStyle w:val="854"/>
                  <w:rFonts w:ascii="Tahoma" w:hAnsi="Tahoma"/>
                  <w:sz w:val="22"/>
                  <w:szCs w:val="22"/>
                  <w:lang w:val="en-US"/>
                </w:rPr>
                <w:t xml:space="preserve">oblgaz</w:t>
              </w:r>
              <w:r>
                <w:rPr>
                  <w:rStyle w:val="854"/>
                  <w:rFonts w:ascii="Tahoma" w:hAnsi="Tahoma"/>
                  <w:sz w:val="22"/>
                  <w:szCs w:val="22"/>
                </w:rPr>
                <w:t xml:space="preserve">nn</w:t>
              </w:r>
              <w:r>
                <w:rPr>
                  <w:rStyle w:val="854"/>
                  <w:rFonts w:ascii="Tahoma" w:hAnsi="Tahoma"/>
                  <w:sz w:val="22"/>
                  <w:szCs w:val="22"/>
                  <w:lang w:val="en-US"/>
                </w:rPr>
                <w:t xml:space="preserve">ov</w:t>
              </w:r>
              <w:r>
                <w:rPr>
                  <w:rStyle w:val="854"/>
                  <w:rFonts w:ascii="Tahoma" w:hAnsi="Tahoma"/>
                  <w:sz w:val="22"/>
                  <w:szCs w:val="22"/>
                </w:rPr>
                <w:t xml:space="preserve">.</w:t>
              </w:r>
              <w:r>
                <w:rPr>
                  <w:rStyle w:val="854"/>
                  <w:rFonts w:ascii="Tahoma" w:hAnsi="Tahoma"/>
                  <w:sz w:val="22"/>
                  <w:szCs w:val="22"/>
                </w:rPr>
                <w:t xml:space="preserve">ru</w:t>
              </w:r>
            </w:hyperlink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709" w:right="851" w:bottom="851" w:left="1418" w:header="709" w:footer="709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Georgia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8"/>
    <w:link w:val="842"/>
    <w:uiPriority w:val="9"/>
    <w:rPr>
      <w:rFonts w:ascii="Arial" w:hAnsi="Arial" w:eastAsia="Arial" w:cs="Arial"/>
      <w:sz w:val="40"/>
      <w:szCs w:val="40"/>
    </w:rPr>
  </w:style>
  <w:style w:type="character" w:styleId="673">
    <w:name w:val="Heading 2 Char"/>
    <w:basedOn w:val="848"/>
    <w:link w:val="843"/>
    <w:uiPriority w:val="9"/>
    <w:rPr>
      <w:rFonts w:ascii="Arial" w:hAnsi="Arial" w:eastAsia="Arial" w:cs="Arial"/>
      <w:sz w:val="34"/>
    </w:rPr>
  </w:style>
  <w:style w:type="character" w:styleId="674">
    <w:name w:val="Heading 3 Char"/>
    <w:basedOn w:val="848"/>
    <w:link w:val="844"/>
    <w:uiPriority w:val="9"/>
    <w:rPr>
      <w:rFonts w:ascii="Arial" w:hAnsi="Arial" w:eastAsia="Arial" w:cs="Arial"/>
      <w:sz w:val="30"/>
      <w:szCs w:val="30"/>
    </w:rPr>
  </w:style>
  <w:style w:type="character" w:styleId="675">
    <w:name w:val="Heading 4 Char"/>
    <w:basedOn w:val="848"/>
    <w:link w:val="845"/>
    <w:uiPriority w:val="9"/>
    <w:rPr>
      <w:rFonts w:ascii="Arial" w:hAnsi="Arial" w:eastAsia="Arial" w:cs="Arial"/>
      <w:b/>
      <w:bCs/>
      <w:sz w:val="26"/>
      <w:szCs w:val="26"/>
    </w:rPr>
  </w:style>
  <w:style w:type="character" w:styleId="676">
    <w:name w:val="Heading 5 Char"/>
    <w:basedOn w:val="848"/>
    <w:link w:val="846"/>
    <w:uiPriority w:val="9"/>
    <w:rPr>
      <w:rFonts w:ascii="Arial" w:hAnsi="Arial" w:eastAsia="Arial" w:cs="Arial"/>
      <w:b/>
      <w:bCs/>
      <w:sz w:val="24"/>
      <w:szCs w:val="24"/>
    </w:rPr>
  </w:style>
  <w:style w:type="character" w:styleId="677">
    <w:name w:val="Heading 6 Char"/>
    <w:basedOn w:val="848"/>
    <w:link w:val="847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8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8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8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1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character" w:styleId="686">
    <w:name w:val="Title Char"/>
    <w:basedOn w:val="848"/>
    <w:link w:val="852"/>
    <w:uiPriority w:val="10"/>
    <w:rPr>
      <w:sz w:val="48"/>
      <w:szCs w:val="48"/>
    </w:rPr>
  </w:style>
  <w:style w:type="character" w:styleId="687">
    <w:name w:val="Subtitle Char"/>
    <w:basedOn w:val="848"/>
    <w:link w:val="853"/>
    <w:uiPriority w:val="11"/>
    <w:rPr>
      <w:sz w:val="24"/>
      <w:szCs w:val="24"/>
    </w:rPr>
  </w:style>
  <w:style w:type="paragraph" w:styleId="688">
    <w:name w:val="Quote"/>
    <w:basedOn w:val="841"/>
    <w:next w:val="841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1"/>
    <w:next w:val="841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1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8"/>
    <w:link w:val="692"/>
    <w:uiPriority w:val="99"/>
  </w:style>
  <w:style w:type="paragraph" w:styleId="694">
    <w:name w:val="Footer"/>
    <w:basedOn w:val="841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8"/>
    <w:link w:val="694"/>
    <w:uiPriority w:val="99"/>
  </w:style>
  <w:style w:type="paragraph" w:styleId="696">
    <w:name w:val="Caption"/>
    <w:basedOn w:val="841"/>
    <w:next w:val="841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8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8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</w:style>
  <w:style w:type="paragraph" w:styleId="842">
    <w:name w:val="Heading 1"/>
    <w:basedOn w:val="841"/>
    <w:next w:val="841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43">
    <w:name w:val="Heading 2"/>
    <w:basedOn w:val="841"/>
    <w:next w:val="841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44">
    <w:name w:val="Heading 3"/>
    <w:basedOn w:val="841"/>
    <w:next w:val="841"/>
    <w:pPr>
      <w:keepNext/>
      <w:spacing w:before="240" w:after="60"/>
      <w:outlineLvl w:val="2"/>
    </w:pPr>
    <w:rPr>
      <w:rFonts w:ascii="Arial" w:hAnsi="Arial" w:eastAsia="Arial" w:cs="Arial"/>
      <w:b/>
      <w:sz w:val="26"/>
      <w:szCs w:val="26"/>
    </w:rPr>
  </w:style>
  <w:style w:type="paragraph" w:styleId="845">
    <w:name w:val="Heading 4"/>
    <w:basedOn w:val="841"/>
    <w:next w:val="841"/>
    <w:pPr>
      <w:keepLines/>
      <w:keepNext/>
      <w:spacing w:before="240" w:after="40"/>
      <w:outlineLvl w:val="3"/>
    </w:pPr>
    <w:rPr>
      <w:b/>
    </w:rPr>
  </w:style>
  <w:style w:type="paragraph" w:styleId="846">
    <w:name w:val="Heading 5"/>
    <w:basedOn w:val="841"/>
    <w:next w:val="841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47">
    <w:name w:val="Heading 6"/>
    <w:basedOn w:val="841"/>
    <w:next w:val="841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table" w:styleId="851" w:customStyle="1">
    <w:name w:val="Table Normal1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841"/>
    <w:next w:val="841"/>
    <w:pPr>
      <w:keepLines/>
      <w:keepNext/>
      <w:spacing w:before="480" w:after="120"/>
    </w:pPr>
    <w:rPr>
      <w:b/>
      <w:sz w:val="72"/>
      <w:szCs w:val="72"/>
    </w:rPr>
  </w:style>
  <w:style w:type="paragraph" w:styleId="853">
    <w:name w:val="Subtitle"/>
    <w:basedOn w:val="841"/>
    <w:next w:val="841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54">
    <w:name w:val="Hyperlink"/>
    <w:basedOn w:val="848"/>
    <w:uiPriority w:val="99"/>
    <w:unhideWhenUsed/>
    <w:rPr>
      <w:color w:val="0000ff" w:themeColor="hyperlink"/>
      <w:u w:val="single"/>
    </w:rPr>
  </w:style>
  <w:style w:type="character" w:styleId="855" w:customStyle="1">
    <w:name w:val="Неразрешенное упоминание1"/>
    <w:basedOn w:val="84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connectgas.ru/" TargetMode="External"/><Relationship Id="rId12" Type="http://schemas.openxmlformats.org/officeDocument/2006/relationships/hyperlink" Target="https://oblgaznnov.ru/File/v8_ABA4_43.pdf." TargetMode="External"/><Relationship Id="rId13" Type="http://schemas.openxmlformats.org/officeDocument/2006/relationships/hyperlink" Target="https://vk.com/away.php?to=http%3A%2F%2Fconnectgas.ru%2F&amp;utf=1" TargetMode="External"/><Relationship Id="rId14" Type="http://schemas.openxmlformats.org/officeDocument/2006/relationships/hyperlink" Target="https://vk.com/away.php?to=http%3A%2F%2Fconnectgas.ru%2F&amp;utf=1" TargetMode="External"/><Relationship Id="rId15" Type="http://schemas.openxmlformats.org/officeDocument/2006/relationships/hyperlink" Target="http://www.oblgaznn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Светлана Анатольевна</dc:creator>
  <cp:lastModifiedBy>borovikovaad</cp:lastModifiedBy>
  <cp:revision>23</cp:revision>
  <dcterms:created xsi:type="dcterms:W3CDTF">2023-08-21T07:27:00Z</dcterms:created>
  <dcterms:modified xsi:type="dcterms:W3CDTF">2026-06-11T10:12:35Z</dcterms:modified>
</cp:coreProperties>
</file>